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CV pentru joburi internaționale</w:t>
      </w:r>
    </w:p>
    <w:p>
      <w:r>
        <w:t>Structurat pentru a fi ușor citit de angajatori internaționali, include limbi străine.</w:t>
      </w:r>
    </w:p>
    <w:p>
      <w:r>
        <w:t xml:space="preserve">Nume: </w:t>
      </w:r>
    </w:p>
    <w:p>
      <w:r>
        <w:t xml:space="preserve">Telefon: </w:t>
      </w:r>
    </w:p>
    <w:p>
      <w:r>
        <w:t xml:space="preserve">Email: </w:t>
      </w:r>
    </w:p>
    <w:p>
      <w:r>
        <w:t xml:space="preserve">Profil personal: </w:t>
      </w:r>
    </w:p>
    <w:p>
      <w:r>
        <w:t xml:space="preserve">Experiență profesională: </w:t>
      </w:r>
    </w:p>
    <w:p>
      <w:r>
        <w:t xml:space="preserve">Educație și formare: </w:t>
      </w:r>
    </w:p>
    <w:p>
      <w:r>
        <w:t xml:space="preserve">Competențe și abilități: </w:t>
      </w:r>
    </w:p>
    <w:p>
      <w:r>
        <w:t xml:space="preserve">Alte informații relevante: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